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los años </w:t>
      </w:r>
      <w:r>
        <w:rPr>
          <w:b w:val="1"/>
          <w:bCs w:val="1"/>
        </w:rPr>
        <w:t xml:space="preserve">2022,2023, 2024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la sociedad mercantil no ha recibido mediante la sede electrónica solicitudes de acceso a la información, por tanto no ha habido resoluciones denegatorias.</w:t>
      </w:r>
    </w:p>
    <w:p>
      <w:pPr/>
      <w:r>
        <w:rPr/>
        <w:t xml:space="preserve">Con respecto a la Información estadística sobre las resoluciones de las solicitudes de derecho al acceso a la información pública cabe decir que no se han realizado tales estadísticas dado que no existen solicitudes de acceso.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2026-06-24T04:15:35+00:00</dcterms:created>
  <dcterms:modified xsi:type="dcterms:W3CDTF">2026-06-24T04:15:35+00:00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