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Año 2025</w:t>
      </w:r>
    </w:p>
    <w:p>
      <w:pPr/>
      <w:r>
        <w:rPr/>
        <w:t xml:space="preserve"> </w:t>
      </w:r>
    </w:p>
    <w:tbl>
      <w:tblGrid>
        <w:gridCol w:w="475900" w:type="dxa"/>
        <w:gridCol w:w="4759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7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7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75900" w:type="pct"/>
          </w:tcPr>
          <w:p>
            <w:pPr>
              <w:jc w:val="center"/>
            </w:pPr>
            <w:r>
              <w:rPr/>
              <w:t xml:space="preserve">Información estadística para valorar los servicios 2025</w:t>
            </w:r>
          </w:p>
        </w:tc>
        <w:tc>
          <w:tcPr>
            <w:tcW w:w="475900" w:type="pct"/>
          </w:tcPr>
          <w:p>
            <w:pPr>
              <w:jc w:val="center"/>
            </w:pP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Año 2024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1195- ESTADÍSTICA Información estadística necesaria para valorar el grado de cumplimento y calidad de los servicios públicos que sean de su competencia.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EVALUACIÓN DEL GRADO DE SATISFACCIÓN CON EL SERVICIO:</w:t>
      </w:r>
    </w:p>
    <w:p>
      <w:pPr/>
      <w:r>
        <w:rPr/>
        <w:t xml:space="preserve"> </w:t>
      </w:r>
    </w:p>
    <w:tbl>
      <w:tblGrid>
        <w:gridCol w:w="2400" w:type="dxa"/>
        <w:gridCol w:w="2400" w:type="dxa"/>
        <w:gridCol w:w="2400" w:type="dxa"/>
        <w:gridCol w:w="2400" w:type="dxa"/>
      </w:tblGrid>
      <w:tblPr>
        <w:tblW w:w="203300" w:type="pct"/>
        <w:tblLayout w:type="autofit"/>
        <w:bidiVisual w:val="0"/>
      </w:tblPr>
      <w:tr>
        <w:trPr>
          <w:tblHeader w:val="1"/>
        </w:trPr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Cuestionarios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 global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 del año anterior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Participación %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Usuarios/as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80.00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Personal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55.00</w:t>
            </w:r>
          </w:p>
        </w:tc>
      </w:tr>
    </w:tbl>
    <w:p>
      <w:pPr>
        <w:pStyle w:val="Heading3"/>
      </w:pPr>
      <w:r>
        <w:rPr/>
        <w:t xml:space="preserve"> </w:t>
      </w:r>
    </w:p>
    <w:tbl>
      <w:tblGrid>
        <w:gridCol w:w="2400" w:type="dxa"/>
        <w:gridCol w:w="2400" w:type="dxa"/>
        <w:gridCol w:w="2400" w:type="dxa"/>
        <w:gridCol w:w="2400" w:type="dxa"/>
      </w:tblGrid>
      <w:tblPr>
        <w:tblW w:w="203300" w:type="pct"/>
        <w:tblLayout w:type="autofit"/>
        <w:bidiVisual w:val="0"/>
      </w:tblPr>
      <w:tr>
        <w:trPr>
          <w:tblHeader w:val="1"/>
        </w:trPr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OBJETIVO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ACTIVIDADES PARA SU CONSECUCIÓN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%ESTIMADO DE CONSECUCIÓN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OBSERVACIONES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Mantenimiento de la autonomía.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Charlas Fisioterapia grupal/individual</w:t>
            </w: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 85%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start"/>
            </w:pPr>
            <w:r>
              <w:rPr/>
              <w:t xml:space="preserve">Promover la continuación de la participación en los distintos talleres.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  <w:r>
              <w:rPr/>
              <w:t xml:space="preserve">Asambleas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90%</w:t>
            </w: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Fomentar las relaciones sanas y el respeto entre ellos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Debates, espacios de encuentro, talleres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 90%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Mejorar las habilidades sociales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Charlas, talleres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70%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</w:tbl>
    <w:p>
      <w:pPr>
        <w:pStyle w:val="Heading3"/>
      </w:pPr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1195-2024 grm CTC ESTADÍSTICA 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AÑO 2023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EVALUACIÓN DEL GRADO DE SATISFACCIÓN CON EL SERVICIO: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CONCLUSIONES DE LA VALORACIÓN DEL SERVICIO PRESTADOS 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2026-08-10T09:36:30+00:00</dcterms:created>
  <dcterms:modified xsi:type="dcterms:W3CDTF">2026-08-10T09:36:30+00:00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