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Queda establecido en el Reglamento de la sociedad, y así ha sido en los años 2022,2023 y 2024, que el órgano competente en esta materia sea el C relatadas en .</w:t>
      </w:r>
    </w:p>
    <w:p>
      <w:pPr/>
      <w:r>
        <w:rPr/>
        <w:t xml:space="preserve"> </w:t>
      </w:r>
    </w:p>
    <w:tbl>
      <w:tblGrid>
        <w:gridCol w:w="494750" w:type="dxa"/>
        <w:gridCol w:w="494750" w:type="dxa"/>
      </w:tblGrid>
      <w:tblPr>
        <w:tblW w:w="184750" w:type="pct"/>
        <w:tblLayout w:type="autofit"/>
        <w:bidiVisual w:val="0"/>
      </w:tblPr>
      <w:tr>
        <w:trPr>
          <w:tblHeader w:val="1"/>
        </w:trPr>
        <w:tc>
          <w:tcPr>
            <w:tcW w:w="4947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Mesa de contratación</w:t>
            </w:r>
          </w:p>
        </w:tc>
        <w:tc>
          <w:tcPr>
            <w:tcW w:w="4947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Consejo de Administración</w:t>
            </w:r>
          </w:p>
        </w:tc>
      </w:tr>
      <w:tr>
        <w:trPr/>
        <w:tc>
          <w:tcPr>
            <w:tcW w:w="494750" w:type="pct"/>
          </w:tcPr>
          <w:p>
            <w:pPr>
              <w:jc w:val="center"/>
            </w:pPr>
            <w:r>
              <w:rPr/>
              <w:t xml:space="preserve">Composición</w:t>
            </w:r>
          </w:p>
        </w:tc>
        <w:tc>
          <w:tcPr>
            <w:tcW w:w="494750" w:type="pct"/>
          </w:tcPr>
          <w:p>
            <w:pPr>
              <w:jc w:val="center"/>
            </w:pPr>
          </w:p>
        </w:tc>
      </w:tr>
      <w:tr>
        <w:trPr/>
        <w:tc>
          <w:tcPr>
            <w:tcW w:w="494750" w:type="pct"/>
          </w:tcPr>
          <w:p>
            <w:pPr>
              <w:jc w:val="center"/>
            </w:pPr>
            <w:r>
              <w:rPr/>
              <w:t xml:space="preserve">Actas y convocatorias</w:t>
            </w:r>
          </w:p>
        </w:tc>
        <w:tc>
          <w:tcPr>
            <w:tcW w:w="494750" w:type="pct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2026-08-10T09:32:43+00:00</dcterms:created>
  <dcterms:modified xsi:type="dcterms:W3CDTF">2026-08-10T09:32:43+00:00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