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2022, 2023, 2024 y 2025 la sociedad mercantil no ha tenido gastos producidos en concepto de Viajes, manutención, alojamiento y asistencia a órganos colegiados o sociales.</w:t>
      </w:r>
    </w:p>
    <w:p>
      <w:pPr/>
      <w:r>
        <w:rPr/>
        <w:t xml:space="preserve">Texto extraído de las bases de ejecución del presupuesto del Ayuntamiento:</w:t>
      </w:r>
    </w:p>
    <w:p>
      <w:pPr/>
      <w:r>
        <w:rPr>
          <w:i w:val="1"/>
          <w:iCs w:val="1"/>
        </w:rPr>
        <w:t xml:space="preserve">"...BASE 27ª.</w:t>
      </w:r>
    </w:p>
    <w:p>
      <w:pPr/>
      <w:r>
        <w:rPr>
          <w:i w:val="1"/>
          <w:iCs w:val="1"/>
        </w:rPr>
        <w:t xml:space="preserve">1.- Para la percepción, por parte del personal al servicio de la Corporación de indemnizaciones por razón del servicio, se estará a lo dispuesto en el R.D. 462/2002, de 24 de mayo, sobre indemnizaciones por razón del servicio y, a los acuerdos/convenios corporativos aprobados.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2.- Al personal de carácter laboral se le aplicará lo previsto en el respectivo convenio colectivo o normativa específica, así como al personal no vinculado jurídicamente con la Administración cuando preste a ésta servicios que puedan dar origen a las indemnizaciones o compensaciones reguladas en el RD 462/2002, 24 de mayo.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3.- Para el devengo de estas indemnizaciones, los viajes o servicios que den derecho a ellas han de ser  autorizados previamente por Resolución del Alcalde, a propuesta de los respectivos Jefes de Servicios, mediante el modelo Anexo VIII..."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2026-06-24T04:17:00+00:00</dcterms:created>
  <dcterms:modified xsi:type="dcterms:W3CDTF">2026-06-24T04:17:00+00:00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