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10. Ayudas y subvenciones, 10.3 Relación de ayudas y subvenciones concedidas , o recibidas en el caso de las entidades del artículo 3, que en el indicador/obligación relativo a subvenciones con indicación de Importe; objetivo o finalidad; y persona/entidad beneficiaria, o administración concedente en el caso de las entidades del artículo 3.</w:t>
      </w:r>
    </w:p>
    <w:p>
      <w:pPr/>
      <w:r>
        <w:rPr>
          <w:b w:val="1"/>
          <w:bCs w:val="1"/>
        </w:rPr>
        <w:t xml:space="preserve">En 2021, 2022, 2023, 2024 y 2025 no existió actividad,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En el año 2023, 2024 y 2025 no se han tramitado subvenciones con ninguna entidad. 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2026-06-24T04:13:02+00:00</dcterms:created>
  <dcterms:modified xsi:type="dcterms:W3CDTF">2026-06-24T04:13:02+00:00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