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12/2014, de 26 de diciembre) en su apartado 5. Retribuciones, 5.1 Miembros electos, titulares de los órganos de gobierno, altos cargos o asimilados y titulares de los órganos superiores de la entidad Sociedad Mercantil Gestión de Recursos Municipales Villa de Moya, se pone en conocimiento de la ciudadanía que respecto a las obligaciones legales siguientes:</w:t>
      </w:r>
    </w:p>
    <w:p>
      <w:pPr/>
      <w:r>
        <w:rPr/>
        <w:t xml:space="preserve">No existe actividad, ya que los altos cargos no cobran por su representación, pudiendo utilizar los ciudadanos los medios legalmente establecidos para ejercer su derecho de acceso a la información pública.</w:t>
      </w:r>
    </w:p>
    <w:p>
      <w:pPr/>
      <w:r>
        <w:rPr/>
        <w:t xml:space="preserve">* No han tenido lugar en </w:t>
      </w:r>
      <w:r>
        <w:rPr>
          <w:b w:val="1"/>
          <w:bCs w:val="1"/>
        </w:rPr>
        <w:t xml:space="preserve">2021, 2022 ,2023, 2024 </w:t>
      </w:r>
      <w:r>
        <w:rPr/>
        <w:t xml:space="preserve">y</w:t>
      </w:r>
      <w:r>
        <w:rPr>
          <w:b w:val="1"/>
          <w:bCs w:val="1"/>
        </w:rPr>
        <w:t xml:space="preserve"> 2025</w:t>
      </w:r>
      <w:r>
        <w:rPr/>
        <w:t xml:space="preserve"> en ninguno de los 4 puntos mencionados (retribuciones, indemnizaciones por abandono de cargo, gastos de representación, ni se han percibido indemnizaciones en ningúno de los años mencionados anteriormente).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2026-06-24T05:24:13+00:00</dcterms:created>
  <dcterms:modified xsi:type="dcterms:W3CDTF">2026-06-24T05:24:13+00:00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