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Gestión de Recursos Municipales de Moya S.L presta un servicio residencial y otro de estancia diurna.</w:t>
      </w:r>
    </w:p>
    <w:p>
      <w:pPr/>
      <w:r>
        <w:rPr>
          <w:b w:val="1"/>
          <w:bCs w:val="1"/>
        </w:rPr>
        <w:t xml:space="preserve">Servicios que presta el centro residencial:</w:t>
      </w:r>
    </w:p>
    <w:p>
      <w:pPr/>
      <w:r>
        <w:rPr>
          <w:b w:val="1"/>
          <w:bCs w:val="1"/>
        </w:rPr>
        <w:t xml:space="preserve">Horario de residencia: 24 horas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Los servicios que ofrece el centro de día son:</w:t>
      </w:r>
    </w:p>
    <w:p>
      <w:pPr/>
      <w:r>
        <w:rPr>
          <w:b w:val="1"/>
          <w:bCs w:val="1"/>
        </w:rPr>
        <w:t xml:space="preserve">Horario de Centro de Día: de 9:00 A 18:00 horas.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Condiciones de acceso.</w:t>
      </w:r>
    </w:p>
    <w:p>
      <w:pPr/>
      <w:r>
        <w:rPr/>
        <w:t xml:space="preserve">Los pasos que hay que seguir para solicitar una plaza tanto para residencia como para centro de día son los siguientes:</w:t>
      </w:r>
    </w:p>
    <w:p>
      <w:pPr>
        <w:numPr>
          <w:ilvl w:val="0"/>
          <w:numId w:val="1"/>
        </w:numPr>
      </w:pPr>
      <w:r>
        <w:rPr/>
        <w:t xml:space="preserve">Pedir cita con el Trabajador social de mayores en el centro de servicios sociales.</w:t>
      </w:r>
    </w:p>
    <w:p>
      <w:pPr>
        <w:numPr>
          <w:ilvl w:val="0"/>
          <w:numId w:val="1"/>
        </w:numPr>
      </w:pPr>
      <w:r>
        <w:rPr/>
        <w:t xml:space="preserve">Solicitar valoración del grado de dependencia.</w:t>
      </w:r>
    </w:p>
    <w:p>
      <w:pPr>
        <w:numPr>
          <w:ilvl w:val="0"/>
          <w:numId w:val="1"/>
        </w:numPr>
      </w:pPr>
      <w:r>
        <w:rPr/>
        <w:t xml:space="preserve">Esperar la llamada para visita a su domicilio.</w:t>
      </w:r>
    </w:p>
    <w:p>
      <w:pPr>
        <w:numPr>
          <w:ilvl w:val="0"/>
          <w:numId w:val="1"/>
        </w:numPr>
      </w:pPr>
      <w:r>
        <w:rPr/>
        <w:t xml:space="preserve">Valoración en el domicilio.</w:t>
      </w:r>
    </w:p>
    <w:p>
      <w:pPr>
        <w:numPr>
          <w:ilvl w:val="0"/>
          <w:numId w:val="1"/>
        </w:numPr>
      </w:pPr>
      <w:r>
        <w:rPr/>
        <w:t xml:space="preserve">Carta de reconocimiento en el que se determina el grado de dependencia.</w:t>
      </w:r>
    </w:p>
    <w:p>
      <w:pPr>
        <w:numPr>
          <w:ilvl w:val="0"/>
          <w:numId w:val="1"/>
        </w:numPr>
      </w:pPr>
      <w:r>
        <w:rPr/>
        <w:t xml:space="preserve">Nueva cita con el Trabajador Social del centro de servicios sociales.</w:t>
      </w:r>
    </w:p>
    <w:p>
      <w:pPr>
        <w:numPr>
          <w:ilvl w:val="0"/>
          <w:numId w:val="1"/>
        </w:numPr>
      </w:pPr>
      <w:r>
        <w:rPr/>
        <w:t xml:space="preserve">Según resolución del PIA, solicitar la plaza en residencia pública o centro de día</w:t>
      </w:r>
    </w:p>
    <w:p>
      <w:pPr>
        <w:numPr>
          <w:ilvl w:val="0"/>
          <w:numId w:val="1"/>
        </w:numPr>
      </w:pPr>
      <w:r>
        <w:rPr/>
        <w:t xml:space="preserve">Si la situación es urgente hay que dar prioridad frente a dependencia. Aquellos casos de abandono, deterioro cognitivo grave etc.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PRECIOS TASAS AÑOS 2022,2023, 2024.</w:t>
      </w:r>
    </w:p>
    <w:tbl>
      <w:tblGrid>
        <w:gridCol w:w="204900" w:type="dxa"/>
        <w:gridCol w:w="448100" w:type="dxa"/>
        <w:gridCol w:w="87450" w:type="dxa"/>
        <w:gridCol w:w="221050" w:type="dxa"/>
        <w:gridCol w:w="358200" w:type="dxa"/>
        <w:gridCol w:w="3087450" w:type="dxa"/>
        <w:gridCol w:w="37158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Servicios por Plazas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Días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Plazas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Precio Social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Precio Sanitario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Transporte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TOTAL</w:t>
            </w:r>
          </w:p>
        </w:tc>
      </w:tr>
      <w:tr>
        <w:trPr/>
        <w:tc>
          <w:tcPr>
            <w:tcW w:w="204900" w:type="pct"/>
          </w:tcPr>
          <w:p>
            <w:pPr/>
          </w:p>
        </w:tc>
        <w:tc>
          <w:tcPr>
            <w:tcW w:w="448100" w:type="pct"/>
          </w:tcPr>
          <w:p>
            <w:pPr/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 16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35,31 €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0.00 €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7,00 €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42,61 €</w:t>
            </w:r>
          </w:p>
        </w:tc>
      </w:tr>
      <w:tr>
        <w:trPr/>
        <w:tc>
          <w:tcPr>
            <w:tcW w:w="204900" w:type="pct"/>
          </w:tcPr>
          <w:p>
            <w:pPr/>
            <w:r>
              <w:rPr>
                <w:b w:val="1"/>
                <w:bCs w:val="1"/>
              </w:rPr>
              <w:t xml:space="preserve">CSS RESIDENCIAL</w:t>
            </w:r>
          </w:p>
        </w:tc>
        <w:tc>
          <w:tcPr>
            <w:tcW w:w="448100" w:type="pct"/>
          </w:tcPr>
          <w:p>
            <w:pPr/>
            <w:r>
              <w:rPr>
                <w:b w:val="1"/>
                <w:bCs w:val="1"/>
              </w:rPr>
              <w:t xml:space="preserve">365</w:t>
            </w:r>
          </w:p>
        </w:tc>
        <w:tc>
          <w:tcPr>
            <w:tcW w:w="87450" w:type="pct"/>
          </w:tcPr>
          <w:p>
            <w:pPr/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221050" w:type="pct"/>
          </w:tcPr>
          <w:p>
            <w:pPr/>
            <w:r>
              <w:rPr>
                <w:b w:val="1"/>
                <w:bCs w:val="1"/>
              </w:rPr>
              <w:t xml:space="preserve">48,13 €</w:t>
            </w:r>
          </w:p>
        </w:tc>
        <w:tc>
          <w:tcPr>
            <w:tcW w:w="358200" w:type="pct"/>
          </w:tcPr>
          <w:p>
            <w:pPr/>
            <w:r>
              <w:rPr>
                <w:b w:val="1"/>
                <w:bCs w:val="1"/>
              </w:rPr>
              <w:t xml:space="preserve">5,42 €</w:t>
            </w:r>
          </w:p>
        </w:tc>
        <w:tc>
          <w:tcPr>
            <w:tcW w:w="3087450" w:type="pct"/>
          </w:tcPr>
          <w:p>
            <w:pPr/>
            <w:r>
              <w:rPr>
                <w:b w:val="1"/>
                <w:bCs w:val="1"/>
              </w:rPr>
              <w:t xml:space="preserve">0,00 €</w:t>
            </w:r>
          </w:p>
        </w:tc>
        <w:tc>
          <w:tcPr>
            <w:tcW w:w="3715850" w:type="pct"/>
          </w:tcPr>
          <w:p>
            <w:pPr/>
            <w:r>
              <w:rPr>
                <w:b w:val="1"/>
                <w:bCs w:val="1"/>
              </w:rPr>
              <w:t xml:space="preserve">53,55 €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CARTAS DE SERVICIO</w:t>
      </w:r>
    </w:p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66FEF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2026-05-09T15:01:25+00:00</dcterms:created>
  <dcterms:modified xsi:type="dcterms:W3CDTF">2026-05-09T15:01:25+00:00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