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jc w:val="both"/>
      </w:pPr>
      <w:r>
        <w:rPr/>
        <w:t xml:space="preserve">Las personas físicas y empresas que tengan dudas acerca de algún aspecto relacionado con algún expediente de contratación que esté licitando esta entidad podrán ponerse en contacto al siguiente correo: miniresidencia@villademoya.es</w:t>
      </w:r>
    </w:p>
    <w:p>
      <w:pPr>
        <w:jc w:val="both"/>
      </w:pPr>
      <w:r>
        <w:rPr/>
        <w:t xml:space="preserve">Asimismo, indicar que Gestión de Recursos Municipales de Moya S.L. no dispone de un perfil de contratante específico, sino que utiliza la Plataforma de Contratación del Estado. </w:t>
      </w:r>
    </w:p>
    <w:p>
      <w:pPr>
        <w:jc w:val="both"/>
      </w:pPr>
      <w:r>
        <w:rPr/>
        <w:t xml:space="preserve"> </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Gestión de Recursos Municipales de Moya S.L.</w:t>
      </w:r>
    </w:p>
    <w:p>
      <w:pPr>
        <w:jc w:val="both"/>
      </w:pP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w:t>
      </w:r>
      <w:r>
        <w:rPr>
          <w:b w:val="1"/>
          <w:bCs w:val="1"/>
        </w:rPr>
        <w:t xml:space="preserve">Gestión de Recursos Municipales de Moya S.L.? </w:t>
      </w:r>
    </w:p>
    <w:p>
      <w:pPr>
        <w:jc w:val="both"/>
      </w:pPr>
      <w:r>
        <w:rPr/>
        <w:t xml:space="preserve">Se ha optado por alojar los perfiles de contratante de sus órganos de contratación en </w:t>
      </w:r>
      <w:r>
        <w:rPr/>
        <w:t xml:space="preserve">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2026-09-25T02:35:05+00:00</dcterms:created>
  <dcterms:modified xsi:type="dcterms:W3CDTF">2026-09-25T02:35:05+00:00</dcterms:modified>
</cp:coreProperties>
</file>

<file path=docProps/custom.xml><?xml version="1.0" encoding="utf-8"?>
<Properties xmlns="http://schemas.openxmlformats.org/officeDocument/2006/custom-properties" xmlns:vt="http://schemas.openxmlformats.org/officeDocument/2006/docPropsVTypes"/>
</file>