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Retribuciones. Información general sobre las condiciones para el devengo y cuantías de las indemnizaciones por razón del servicio. 1056. </w:t>
      </w:r>
      <w:r>
        <w:rPr>
          <w:b w:val="1"/>
          <w:bCs w:val="1"/>
        </w:rPr>
        <w:t xml:space="preserve">Viajes, manutención, alojamiento y asistencia a órganos colegiados o sociales.</w:t>
      </w:r>
      <w:r>
        <w:rPr/>
        <w:t xml:space="preserve"> Se informa que </w:t>
      </w:r>
      <w:r>
        <w:rPr>
          <w:b w:val="1"/>
          <w:bCs w:val="1"/>
        </w:rPr>
        <w:t xml:space="preserve">no existe actividad</w:t>
      </w:r>
      <w:r>
        <w:rPr/>
        <w:t xml:space="preserve"> 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2026-09-25T02:34:47+00:00</dcterms:created>
  <dcterms:modified xsi:type="dcterms:W3CDTF">2026-09-25T02:34:47+00:00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