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Retribuciones. Personal funcionario, laboral y estatutario. 1054. </w:t>
      </w:r>
      <w:r>
        <w:rPr>
          <w:b w:val="1"/>
          <w:bCs w:val="1"/>
        </w:rPr>
        <w:t xml:space="preserve">Aportaciones a planes de pensiones o seguros colectivos y cualquier retribución extrasalarial, articulada en función de los niveles y cargos existentes</w:t>
      </w:r>
      <w:r>
        <w:rPr>
          <w:b w:val="1"/>
          <w:bCs w:val="1"/>
        </w:rPr>
        <w:t xml:space="preserve">.</w:t>
      </w:r>
      <w:r>
        <w:rPr/>
        <w:t xml:space="preserve"> Se informa que </w:t>
      </w:r>
      <w:r>
        <w:rPr>
          <w:b w:val="1"/>
          <w:bCs w:val="1"/>
        </w:rPr>
        <w:t xml:space="preserve">no existe actividad</w:t>
      </w:r>
      <w:r>
        <w:rPr/>
        <w:t xml:space="preserve"> en la obligación </w:t>
      </w:r>
      <w:r>
        <w:rPr>
          <w:b w:val="1"/>
          <w:bCs w:val="1"/>
        </w:rPr>
        <w:t xml:space="preserve">durante el ejercicio 2020,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2026-08-10T09:35:26+00:00</dcterms:created>
  <dcterms:modified xsi:type="dcterms:W3CDTF">2026-08-10T09:35:26+00:00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