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cumplimiento de la Ley Canaria de Transparencia (Ley 12/2014), se informa que ningún miembro del gobierno, alto cargo o directivo de esta entidad ha percibido </w:t>
      </w:r>
      <w:r>
        <w:rPr>
          <w:b w:val="1"/>
          <w:bCs w:val="1"/>
        </w:rPr>
        <w:t xml:space="preserve">ninguna indemnización</w:t>
      </w:r>
      <w:r>
        <w:rPr/>
        <w:t xml:space="preserve"> por abandono de su cargo durante los años 2022, 2023, 2024 y 2025; asimismo, se recuerda a la ciudadanía que puede ejercer su derecho de acceso a la información pública a través de los canales legales establecidos.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2026-09-25T02:34:28+00:00</dcterms:created>
  <dcterms:modified xsi:type="dcterms:W3CDTF">2026-09-25T02:34:28+00:00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