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both"/>
      </w:pPr>
      <w:r>
        <w:rPr/>
        <w:t xml:space="preserve">En cumplimiento de la Ley Canaria de Transparencia (Ley 12/2014), se informa que ningún miembro del gobierno, alto cargo o directivo de esta entidad ha percibido </w:t>
      </w:r>
      <w:r>
        <w:rPr>
          <w:b w:val="1"/>
          <w:bCs w:val="1"/>
        </w:rPr>
        <w:t xml:space="preserve">ninguna indemnización</w:t>
      </w:r>
      <w:r>
        <w:rPr/>
        <w:t xml:space="preserve"> por abandono de su cargo durante los años 2022, 2023, 2024 y 2025; asimismo, se recuerda a la ciudadanía que puede ejercer su derecho de acceso a la información pública a través de los canales legales establecidos.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2026-08-10T09:36:31+00:00</dcterms:created>
  <dcterms:modified xsi:type="dcterms:W3CDTF">2026-08-10T09:36:31+00:00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